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8745738" w14:textId="56152E3E" w:rsidR="00577CB1" w:rsidRDefault="008F085C" w:rsidP="00577CB1">
      <w:pPr>
        <w:spacing w:line="276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485EC3">
        <w:rPr>
          <w:rFonts w:asciiTheme="majorBidi" w:hAnsiTheme="majorBidi" w:cstheme="majorBidi"/>
          <w:b/>
          <w:bCs/>
          <w:sz w:val="28"/>
          <w:szCs w:val="28"/>
        </w:rPr>
        <w:t xml:space="preserve">Solute </w:t>
      </w:r>
      <w:r w:rsidR="00C220E0">
        <w:rPr>
          <w:rFonts w:asciiTheme="majorBidi" w:hAnsiTheme="majorBidi" w:cstheme="majorBidi"/>
          <w:b/>
          <w:bCs/>
          <w:sz w:val="28"/>
          <w:szCs w:val="28"/>
        </w:rPr>
        <w:t>Dynamics in Nanoconfined Solvent Mixtures</w:t>
      </w:r>
    </w:p>
    <w:p w14:paraId="2242F1B0" w14:textId="1980D733" w:rsidR="00577CB1" w:rsidRDefault="00162602" w:rsidP="00485EC3">
      <w:pPr>
        <w:spacing w:line="276" w:lineRule="auto"/>
        <w:jc w:val="center"/>
        <w:rPr>
          <w:rFonts w:asciiTheme="majorBidi" w:hAnsiTheme="majorBidi" w:cstheme="majorBidi"/>
          <w:bCs/>
          <w:sz w:val="28"/>
          <w:szCs w:val="28"/>
        </w:rPr>
      </w:pPr>
      <w:r>
        <w:rPr>
          <w:rFonts w:asciiTheme="majorBidi" w:hAnsiTheme="majorBidi" w:cstheme="majorBidi"/>
          <w:bCs/>
          <w:sz w:val="28"/>
          <w:szCs w:val="28"/>
        </w:rPr>
        <w:t xml:space="preserve">Prof. </w:t>
      </w:r>
      <w:r w:rsidR="00577CB1" w:rsidRPr="00577CB1">
        <w:rPr>
          <w:rFonts w:asciiTheme="majorBidi" w:hAnsiTheme="majorBidi" w:cstheme="majorBidi"/>
          <w:bCs/>
          <w:sz w:val="28"/>
          <w:szCs w:val="28"/>
        </w:rPr>
        <w:t>Daniel A. Higgins</w:t>
      </w:r>
    </w:p>
    <w:p w14:paraId="480344D0" w14:textId="4553537A" w:rsidR="00E17ACF" w:rsidRPr="00577CB1" w:rsidRDefault="00E17ACF" w:rsidP="00485EC3">
      <w:pPr>
        <w:spacing w:line="276" w:lineRule="auto"/>
        <w:jc w:val="center"/>
        <w:rPr>
          <w:rFonts w:asciiTheme="majorBidi" w:hAnsiTheme="majorBidi" w:cstheme="majorBidi"/>
          <w:bCs/>
          <w:sz w:val="28"/>
          <w:szCs w:val="28"/>
        </w:rPr>
      </w:pPr>
      <w:r>
        <w:rPr>
          <w:rFonts w:asciiTheme="majorBidi" w:hAnsiTheme="majorBidi" w:cstheme="majorBidi"/>
          <w:bCs/>
          <w:sz w:val="28"/>
          <w:szCs w:val="28"/>
        </w:rPr>
        <w:t>Department of Chemistry, Kansas State University</w:t>
      </w:r>
    </w:p>
    <w:p w14:paraId="11BC156E" w14:textId="0E317A03" w:rsidR="00612237" w:rsidRDefault="00E17ACF" w:rsidP="00E17ACF">
      <w:pPr>
        <w:spacing w:after="0" w:line="240" w:lineRule="auto"/>
        <w:jc w:val="both"/>
      </w:pPr>
      <w:r>
        <w:t xml:space="preserve">Confinement of solvents and solutes within nanoporous </w:t>
      </w:r>
      <w:r>
        <w:t>media</w:t>
      </w:r>
      <w:r>
        <w:t xml:space="preserve"> frequently leads to the emergence of unique mass transport behaviors of relevance to chemical catalysis and separations. We have been exploring the diffusion of </w:t>
      </w:r>
      <w:r>
        <w:t>fluorescent</w:t>
      </w:r>
      <w:r>
        <w:t xml:space="preserve"> dyes dissolved in binary alcohol/water mixtures confined within 5, 10, and 20 nm diameter </w:t>
      </w:r>
      <w:r w:rsidR="00612237">
        <w:t xml:space="preserve">commercial </w:t>
      </w:r>
      <w:r>
        <w:t xml:space="preserve">anodic </w:t>
      </w:r>
      <w:r w:rsidR="00612237">
        <w:t>alumina</w:t>
      </w:r>
      <w:r>
        <w:t xml:space="preserve"> nanopores.  </w:t>
      </w:r>
      <w:r>
        <w:t>C</w:t>
      </w:r>
      <w:r>
        <w:t xml:space="preserve">onfocal fluorescence correlation spectroscopy (FCS) studies </w:t>
      </w:r>
      <w:r>
        <w:t>of Rhodamine B diffusion have been performed</w:t>
      </w:r>
      <w:r>
        <w:t xml:space="preserve"> to probe </w:t>
      </w:r>
      <w:r w:rsidR="00612237">
        <w:t>the fastest</w:t>
      </w:r>
      <w:r>
        <w:t xml:space="preserve"> dye diffusion dynamics</w:t>
      </w:r>
      <w:r>
        <w:t xml:space="preserve"> in bulk and nanoconfined mixtures</w:t>
      </w:r>
      <w:r>
        <w:t xml:space="preserve">. </w:t>
      </w:r>
      <w:r>
        <w:t xml:space="preserve">Unique composition- and pores-size-dependent trends are observed within the nanopores, reflecting </w:t>
      </w:r>
      <w:r w:rsidR="00612237">
        <w:t>the participation of long-range interactions in governing fast (i.e. near-bulk-like</w:t>
      </w:r>
      <w:r w:rsidR="00162602">
        <w:t>)</w:t>
      </w:r>
      <w:r w:rsidR="00612237">
        <w:t xml:space="preserve"> diffusion while</w:t>
      </w:r>
      <w:r>
        <w:t xml:space="preserve"> solvation-related dye-surface interactions and pore surface chemistry </w:t>
      </w:r>
      <w:r w:rsidR="00612237">
        <w:t>control</w:t>
      </w:r>
      <w:r>
        <w:t xml:space="preserve"> </w:t>
      </w:r>
      <w:r w:rsidR="00612237">
        <w:t xml:space="preserve">the dynamics of distinct </w:t>
      </w:r>
      <w:r>
        <w:t xml:space="preserve">slow dye diffusion mechanisms.  </w:t>
      </w:r>
      <w:r>
        <w:t xml:space="preserve">Widefield </w:t>
      </w:r>
      <w:r>
        <w:t xml:space="preserve">fluorescence microscopy and single-molecule tracking methods </w:t>
      </w:r>
      <w:r w:rsidR="00612237">
        <w:t>better reveal the origins of</w:t>
      </w:r>
      <w:r>
        <w:t xml:space="preserve"> slow </w:t>
      </w:r>
      <w:r>
        <w:t>dye diffusion on long time scales</w:t>
      </w:r>
      <w:r w:rsidR="00612237">
        <w:t xml:space="preserve">, suggesting the latter may </w:t>
      </w:r>
      <w:proofErr w:type="gramStart"/>
      <w:r w:rsidR="00162602">
        <w:t xml:space="preserve">actually </w:t>
      </w:r>
      <w:r w:rsidR="00612237">
        <w:t>involve</w:t>
      </w:r>
      <w:proofErr w:type="gramEnd"/>
      <w:r w:rsidR="00612237">
        <w:t xml:space="preserve"> three distinct mechanisms classified as “hopping”, “crawling”, and “wiggling”.  In our latest work, we have begun studying diffusion by Rhodamine B in alumina nanopores filled </w:t>
      </w:r>
      <w:r w:rsidR="00162602">
        <w:t>by</w:t>
      </w:r>
      <w:r w:rsidR="00612237">
        <w:t xml:space="preserve"> </w:t>
      </w:r>
      <w:proofErr w:type="gramStart"/>
      <w:r w:rsidR="00612237">
        <w:t>partially-miscible</w:t>
      </w:r>
      <w:proofErr w:type="gramEnd"/>
      <w:r w:rsidR="00612237">
        <w:t xml:space="preserve"> n-butanol/water mixtures as the miscibility boundary </w:t>
      </w:r>
      <w:proofErr w:type="gramStart"/>
      <w:r w:rsidR="00612237">
        <w:t>is</w:t>
      </w:r>
      <w:proofErr w:type="gramEnd"/>
      <w:r w:rsidR="00612237">
        <w:t xml:space="preserve"> approached.  Confocal Raman spectra reveal mixture composition within the pores closely follows that of the bulk solution, up to the miscibility boundary, but that pore surface chemistry is also </w:t>
      </w:r>
      <w:r w:rsidR="00162602">
        <w:t xml:space="preserve">critically important and </w:t>
      </w:r>
      <w:r w:rsidR="00612237">
        <w:t xml:space="preserve">highly dependent on pore size and mixture composition.  Confocal FCS studies reveal similar diffusion dynamics for Rhodamine B in both ethanol/ and n-butanol/water </w:t>
      </w:r>
      <w:proofErr w:type="gramStart"/>
      <w:r w:rsidR="00612237">
        <w:t>mixtures, and</w:t>
      </w:r>
      <w:proofErr w:type="gramEnd"/>
      <w:r w:rsidR="00612237">
        <w:t xml:space="preserve"> demonstrate that pore surface chemistry plays a significant role in observed pore-size-dependent variations in the rate of slow dye diffusion</w:t>
      </w:r>
      <w:r w:rsidR="003B736D">
        <w:t xml:space="preserve"> in both solvent mixtures</w:t>
      </w:r>
      <w:r w:rsidR="00612237">
        <w:t xml:space="preserve">.  </w:t>
      </w:r>
    </w:p>
    <w:p w14:paraId="3BAB9833" w14:textId="77777777" w:rsidR="00612237" w:rsidRDefault="00612237" w:rsidP="00E17ACF">
      <w:pPr>
        <w:spacing w:after="0" w:line="240" w:lineRule="auto"/>
        <w:jc w:val="both"/>
      </w:pPr>
    </w:p>
    <w:p w14:paraId="6A3C27F6" w14:textId="77777777" w:rsidR="00612237" w:rsidRDefault="00612237" w:rsidP="00E17ACF">
      <w:pPr>
        <w:spacing w:after="0" w:line="240" w:lineRule="auto"/>
        <w:jc w:val="both"/>
      </w:pPr>
    </w:p>
    <w:p w14:paraId="5D361B4F" w14:textId="503B8253" w:rsidR="00ED66D6" w:rsidRPr="00ED66D6" w:rsidRDefault="00612237" w:rsidP="003B736D">
      <w:pPr>
        <w:spacing w:after="0" w:line="240" w:lineRule="auto"/>
        <w:jc w:val="both"/>
        <w:rPr>
          <w:rFonts w:asciiTheme="majorBidi" w:hAnsiTheme="majorBidi" w:cstheme="majorBidi"/>
        </w:rPr>
      </w:pPr>
      <w:r>
        <w:t xml:space="preserve"> </w:t>
      </w:r>
    </w:p>
    <w:p w14:paraId="61962117" w14:textId="77777777" w:rsidR="00F817C4" w:rsidRPr="00F54173" w:rsidRDefault="00F817C4" w:rsidP="00F54173">
      <w:pPr>
        <w:spacing w:line="276" w:lineRule="auto"/>
        <w:jc w:val="both"/>
        <w:rPr>
          <w:rFonts w:asciiTheme="majorBidi" w:hAnsiTheme="majorBidi" w:cstheme="majorBidi"/>
        </w:rPr>
      </w:pPr>
    </w:p>
    <w:p w14:paraId="14E89232" w14:textId="77777777" w:rsidR="00F817C4" w:rsidRPr="00F54173" w:rsidRDefault="00F817C4" w:rsidP="00F54173">
      <w:pPr>
        <w:spacing w:line="276" w:lineRule="auto"/>
        <w:jc w:val="both"/>
        <w:rPr>
          <w:rFonts w:asciiTheme="majorBidi" w:hAnsiTheme="majorBidi" w:cstheme="majorBidi"/>
        </w:rPr>
      </w:pPr>
    </w:p>
    <w:p w14:paraId="34F4879B" w14:textId="77777777" w:rsidR="00BC6BBF" w:rsidRPr="00F54173" w:rsidRDefault="00BC6BBF" w:rsidP="00F54173">
      <w:pPr>
        <w:spacing w:line="276" w:lineRule="auto"/>
        <w:jc w:val="both"/>
        <w:rPr>
          <w:rFonts w:asciiTheme="majorBidi" w:hAnsiTheme="majorBidi" w:cstheme="majorBidi"/>
        </w:rPr>
      </w:pPr>
    </w:p>
    <w:sectPr w:rsidR="00BC6BBF" w:rsidRPr="00F541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Yu Mincho">
    <w:altName w:val="游明朝"/>
    <w:panose1 w:val="020204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B6E"/>
    <w:rsid w:val="00012CB7"/>
    <w:rsid w:val="000333FB"/>
    <w:rsid w:val="000456AE"/>
    <w:rsid w:val="00162602"/>
    <w:rsid w:val="002978A4"/>
    <w:rsid w:val="003B736D"/>
    <w:rsid w:val="00485EC3"/>
    <w:rsid w:val="0052564C"/>
    <w:rsid w:val="00577CB1"/>
    <w:rsid w:val="005D3F08"/>
    <w:rsid w:val="00612237"/>
    <w:rsid w:val="006F1F49"/>
    <w:rsid w:val="00703C53"/>
    <w:rsid w:val="007652E2"/>
    <w:rsid w:val="00784575"/>
    <w:rsid w:val="007F5B93"/>
    <w:rsid w:val="00810C20"/>
    <w:rsid w:val="00822594"/>
    <w:rsid w:val="008D7B6E"/>
    <w:rsid w:val="008F085C"/>
    <w:rsid w:val="008F08CE"/>
    <w:rsid w:val="00931443"/>
    <w:rsid w:val="009450E2"/>
    <w:rsid w:val="009679F6"/>
    <w:rsid w:val="00996F74"/>
    <w:rsid w:val="00BC6BBF"/>
    <w:rsid w:val="00C220E0"/>
    <w:rsid w:val="00C3747D"/>
    <w:rsid w:val="00D37851"/>
    <w:rsid w:val="00DB21A0"/>
    <w:rsid w:val="00E17ACF"/>
    <w:rsid w:val="00E23DA5"/>
    <w:rsid w:val="00ED66D6"/>
    <w:rsid w:val="00EE39FF"/>
    <w:rsid w:val="00F4030A"/>
    <w:rsid w:val="00F54173"/>
    <w:rsid w:val="00F81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1624053"/>
  <w15:docId w15:val="{402C00D3-30C8-774F-AAE2-4D69C1525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7B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7B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7B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7B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7B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7B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7B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7B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7B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7B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7B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7B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7B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7B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7B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7B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7B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7B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7B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7B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7B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7B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7B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7B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7B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7B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7B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7B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7B6E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82259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2594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259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2594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259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2594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2594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7614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Safoura Asadi</dc:creator>
  <cp:keywords/>
  <dc:description/>
  <cp:lastModifiedBy>Daniel Higgins</cp:lastModifiedBy>
  <cp:revision>5</cp:revision>
  <dcterms:created xsi:type="dcterms:W3CDTF">2026-09-08T15:44:00Z</dcterms:created>
  <dcterms:modified xsi:type="dcterms:W3CDTF">2026-09-08T16:08:00Z</dcterms:modified>
</cp:coreProperties>
</file>